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Arial"/>
          <w:b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第十八届福州市青少年机器人竞赛机器人普及赛-实物编程赛项说明</w:t>
      </w:r>
    </w:p>
    <w:p>
      <w:pPr>
        <w:jc w:val="center"/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一、比赛简介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贯彻2017年7月国务院《新一代人工智能发展规划》提出的“实施全民智能教育项目，在中小学设置人工智能相关课程，逐步推广编程教育”的规划内容；落实党的二十大报告中关于“发展素质教育，促进教育公平，强化特殊教育普惠发展”的指示精神；根据教育部等七部门印发的《“十四五”特殊教育发展提升行动计划》和教育部、国家卫生健康委员会等八部门联合印发《综合防控儿童青少年近视实施方案》相关工作方向，特设立本竞赛项目。本竞赛项目通过非电子屏幕的实物编程现场竞技任务，促进青少年编程教育的普特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本竞赛项目基于感知-认知学习模式的具象化编程语言，展现当代青少年在数字化学习与创新方面的信息素养。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二、比赛主题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比赛主题为“实物编程，共享蓝天”。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（一）通用内容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比赛要求参赛队使用实物编程指令完成比赛任务。比赛检验参赛者对编程思维和算法设计的应用水平，锻炼参赛者编程和计算思维能力。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比赛内容为两个部分：现场比赛部分和作品展示部分。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现场比赛部分：比赛任务现场发布，在规定的时间内，参赛者现场编程，并通过机器人验证程序，完成比赛任务。比赛任务通常要求机器人能从起点出发，按正确顺序，经过若干指定途径点，抵达终点。按照规则计算比赛得分，具体详见第五部分“比赛规则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作品展示部分：作品展示以答辩形式完成，考核参赛者对任务主题的理解。要求参赛者提交书面材料（A4纸打印），并在规定的时间表达设计理念，鼓励参赛者按照主题去装饰机器人，内容包括但不仅限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（1）团队介绍（200字以内，包括团队名称、团队口号、竞赛理念、成员姓名、性别、年龄及成员个人分工及特长介绍）；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（2）设计理念（200字以内，设计思想、实现主要过程）；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（3）制作过程中的图片资料（标注说明及日期）；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演讲不得超过3分钟。答辩裁判在演讲后会提出一些问题并根据演讲情况打分。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（二）分组内容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比赛任务现场发布，在规定时间内，参赛队现场完成编程任务，机器人可提前装饰（装饰部分不能影响机器人正常运行，且在比赛过程中不可拆卸）。参赛队作品展示后，由裁判进行评价打分。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选手报名组别按参赛选手当前在读学段，仅设小学组（1-3年级）。本赛项以团队形式报名，每队人数为2人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四、比赛场地（道具）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比赛任务主题“一带一路”。作品展示部分围绕此主题讲解。比赛任务底图将由组委会提供。材质尺寸为1140x1180mm哑光移动背胶。</w:t>
      </w:r>
    </w:p>
    <w:p>
      <w:pPr>
        <w:jc w:val="left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66690" cy="508635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pacing w:val="-4"/>
          <w:sz w:val="24"/>
          <w:szCs w:val="24"/>
        </w:rPr>
        <w:t>实</w:t>
      </w:r>
      <w:r>
        <w:rPr>
          <w:rFonts w:ascii="仿宋" w:hAnsi="仿宋" w:eastAsia="仿宋" w:cs="仿宋"/>
          <w:spacing w:val="-3"/>
          <w:sz w:val="24"/>
          <w:szCs w:val="24"/>
        </w:rPr>
        <w:t>物</w:t>
      </w:r>
      <w:r>
        <w:rPr>
          <w:rFonts w:ascii="仿宋" w:hAnsi="仿宋" w:eastAsia="仿宋" w:cs="仿宋"/>
          <w:spacing w:val="-2"/>
          <w:sz w:val="24"/>
          <w:szCs w:val="24"/>
        </w:rPr>
        <w:t>编程任务底图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五、比赛规则和得分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（一）比赛规则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1.本次比赛的原则为非禁止即许可。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2.比赛包括现场比赛和作品展示两部分。实物编程方式的智能机器人须由程序控制自主运行。（具体得分说明见第七项“比赛得分”）。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3.现场比赛时间共13分钟，分为准备、比赛、答辩三个阶段。各阶段时间分配详见表1。</w:t>
      </w:r>
    </w:p>
    <w:p>
      <w:pPr>
        <w:jc w:val="center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表1现场比赛时间分配表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准备阶段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510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比赛阶段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答辩阶段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4.每支参赛队有1次比赛机会。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5.比赛取比赛阶段加答辩阶段总分为最终成绩。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6.准备阶段，参赛队需根据现场抽签结果规划程序，反复验证以保证顺利完成任务。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7.比赛阶段参赛队完成任务并向裁判确认完成时间后，不得再触碰机器人或实物编程指令，如有触碰，计入违规扣分。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8.比赛阶段参赛队完成任务后，需保留原始编程指令稿件，以便裁判进行打分。如果没有原始程序，程序优化部分不得分。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9.比赛过程中，参赛队允许携带纸笔完成任务规划设计。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10.本规则的解释权归大赛组委会。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（二）比赛得分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比赛分为现场比赛部分和作品展示部分，得分规则如下：1.现场比赛部分得分规则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比赛任务由：起点、若干途经点和终点组成；机器人按照抽签结果从起点出发，以正确的顺序经过途径点，最后抵达终点。且每个任务点只能经过一次。机器人完成任务过程中，若经过任务点的顺序与正确的顺序不符合，则算运行错误，且该点（含该点）之后的所有点不再得分。若出现运行错误，可选择手动将机器人放回出错前最后经过的任务点（机器人方向朝上），并判犯规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抽签坐标点为地图上绿色标记点。</w:t>
      </w:r>
    </w:p>
    <w:p>
      <w:pPr>
        <w:jc w:val="center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表2比赛分值及说明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0"/>
        <w:gridCol w:w="5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54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任务完成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60分</w:t>
            </w:r>
          </w:p>
        </w:tc>
        <w:tc>
          <w:tcPr>
            <w:tcW w:w="5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以正确的顺序经过除起点外的5个任务点，12分/点。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编程技巧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5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裁判客观记录，按“路线拼接”、“基础函数”（基础编程即是基础函数）、“循环”（重复）、“子函数嵌套”（基础编程上使用打包集成即为子函数嵌套）、和“多重函数嵌套”（多次使用或重复执行打包集成即为多重函数嵌套）编程技巧难度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程序优化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由裁判客观记录程序中动作指令数量。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80分</w:t>
            </w:r>
          </w:p>
        </w:tc>
        <w:tc>
          <w:tcPr>
            <w:tcW w:w="5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2.作品展示部分得分规则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参赛队除了积极准备现场的比赛外，还需进行展示答辩。答辩在比赛阶段完成后进行。只有通过答辩的队伍其比赛成绩方视为有效。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作品展示部分总分20分，具体项目得分详见表3。</w:t>
      </w:r>
    </w:p>
    <w:p>
      <w:pPr>
        <w:jc w:val="center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表3口头答辩展示部分分值表</w:t>
      </w:r>
    </w:p>
    <w:tbl>
      <w:tblPr>
        <w:tblStyle w:val="7"/>
        <w:tblW w:w="74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9"/>
        <w:gridCol w:w="3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3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43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团队介绍和主题任务背景介绍</w:t>
            </w: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3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机器人程序展示和设计介绍</w:t>
            </w: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3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3.违规扣分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当发生如表4所示情形时，扣除相应分数，乃至取消比赛成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绩。</w:t>
      </w:r>
    </w:p>
    <w:p>
      <w:pPr>
        <w:jc w:val="center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表4违规扣分分值表</w:t>
      </w:r>
    </w:p>
    <w:tbl>
      <w:tblPr>
        <w:tblStyle w:val="7"/>
        <w:tblW w:w="76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9"/>
        <w:gridCol w:w="2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473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不能提供（保留）原始程序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0" w:hRule="atLeast"/>
          <w:jc w:val="center"/>
        </w:trPr>
        <w:tc>
          <w:tcPr>
            <w:tcW w:w="473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任务完成后，未经裁判允许，触碰机器人或程序指令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-5分/次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4.比赛总得分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各支队伍的总成绩为现场比赛得分与作品展示得分之和。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总得分相同情况下，使用的程序指令越少，排名越前；还无法分出胜负情况下，则以完成任务时间越短，排名越前。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六、比赛报名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参赛选手应于规定时间内根据大赛官方通知进行报名。参赛选手报名基本要求如下：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1、应以团队的形式完成报名，参赛队由2人组成；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2、参赛队中所有参赛选手均应符合对应年级；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3、根据对应组别和级别要求，熟悉实物编程的基础知识和基本操作，能独立完成编程任务，可以对任务进行演示、讲解。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4、实物编程通过指令卡等实物来完成逻辑思维的表达。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七、参赛技术要求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实物编程方式参赛，选手需自备参赛器材。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1.外包装完整，器材外观无明显安全隐患；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2.机器人应含有智能主控、指令卡及配套的任务地图；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3.指令卡符号简单易识易记，要符合学生科学认知。编程的底层逻辑和知识点完整，能够对应主流图形化编程语言或一种代码语言；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4.器材能够按照任务说明要求编程并完整实现任务，且运行流畅、稳定；且不能使用手机、平板电脑、笔记本电脑等屏媒进行编程；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5.器材操作复杂度符合学生水平；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6.实物编程器材通过巡线的方式在任务地图上运行。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八、比赛流程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裁判公证人员抽签决定当天的任务路线。比赛流程具体如下：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一、参赛选手根据队伍抽签顺序进入比赛现场由场地裁判告知任务路线。5分钟准备，5分钟完成任务；场地赛完成后根据指示到答辩区进行答辩。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二、根据主题要求，选手携带作品现场展示，介绍创作思路、讲解故事情节和展示编程内容，每队限时3分钟，结合裁判组提问进行解答。答辩结束后即可离开赛场，比赛结束。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（一）基本比赛要求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1.组委会工作人员（包括裁判及专家组成员），不得在现场比赛期间参与任何对参赛选手的指导或辅导工作，不得泄露任何有失公允的竞赛信息。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2.参赛选手须提前5分钟入场，按指定位置就座。比赛过程中不得随意走动，不得扰乱比赛秩序。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参赛选手可携带书写工具如钢笔、签字笔、铅笔等，及计时工具手表等进入场地。不得携带软盘、光盘、U盘、硬盘等外接存储设备或介质。在竞技期间不得与其他选手交谈，不得干扰其它选手备赛，不得损坏公用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4.参赛选手在展示和比赛过程中对题目、设备以及编程环境有疑问时，应举手向大赛工作人员提问。选手遇有器材故障，或其他妨碍比赛的情况，应及时举手示意大赛工作人员及时处理。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（二）比赛规则的解释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权归大赛组委会。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附件一：计分表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实物编程赛任务场地计分表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参赛人/团队：                  组别：</w:t>
      </w:r>
    </w:p>
    <w:tbl>
      <w:tblPr>
        <w:tblStyle w:val="4"/>
        <w:tblW w:w="88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440"/>
        <w:gridCol w:w="1275"/>
        <w:gridCol w:w="3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45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595959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评判项目</w:t>
            </w:r>
          </w:p>
        </w:tc>
        <w:tc>
          <w:tcPr>
            <w:tcW w:w="271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595959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计分表</w:t>
            </w:r>
          </w:p>
        </w:tc>
        <w:tc>
          <w:tcPr>
            <w:tcW w:w="31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000000" w:fill="595959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4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  <w:lang w:val="en-US" w:eastAsia="zh-CN"/>
              </w:rPr>
              <w:t>比赛</w:t>
            </w: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时间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记录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完成时间（按秒计）</w:t>
            </w:r>
          </w:p>
        </w:tc>
        <w:tc>
          <w:tcPr>
            <w:tcW w:w="31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任务耗时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裁判按秒记录完成小组完成时间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编程完成度（</w:t>
            </w: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0分）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单选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任务：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以正确的顺序经过除起点外的5个任务点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/点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1.参赛队完成任务后，举手示意裁判完成任务</w:t>
            </w:r>
          </w:p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2.由裁判验证是否完成任务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编程技巧（20分）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单选</w:t>
            </w:r>
          </w:p>
        </w:tc>
        <w:tc>
          <w:tcPr>
            <w:tcW w:w="31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使用路线拼接完成任务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restart"/>
            <w:tcBorders>
              <w:top w:val="nil"/>
              <w:left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1.参赛队完成任务后，保留编程拼图，由裁判员根据编程技巧打分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2.在比赛时间内，参赛队可多次尝试完成任务，以最高编程技巧得分，记录比赛总分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3.比赛中不得出现递归函数（无限循环）</w:t>
            </w:r>
          </w:p>
          <w:p>
            <w:pPr>
              <w:widowControl/>
              <w:spacing w:before="0" w:after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使用基础函数完成任务</w:t>
            </w:r>
          </w:p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（基础编程即是基础函数）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left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使用循环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完成任务或子函数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（基础编程上使用</w:t>
            </w:r>
          </w:p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打包集成即为子函数嵌套）完成任务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left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使用循环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和多重子函数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（多次使用或重复执行打包集成即为多重函数嵌套）完成任务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left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程序优化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任务完成的程序中使用的指令块数量（个）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任务消耗指令块数量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记录主程序和子程序中所有指令块数量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犯规扣分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000000" w:fill="BEBEBE" w:themeFill="background1" w:themeFillShade="BF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不能提供（保留）原始程序稿件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扣5分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机器人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完成编译启动后，不得再接触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机器人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直到任务完成或者失败</w:t>
            </w:r>
          </w:p>
          <w:p>
            <w:pPr>
              <w:widowControl/>
              <w:spacing w:before="0" w:after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机器人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启动后至任务动作结束前，参赛选手出现接触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机器人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的情况，每次扣5分，接触3次以上含3次扣除总分数不超过15分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ind w:firstLine="800" w:firstLineChars="4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犯规1次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扣5分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left"/>
        <w:rPr>
          <w:rFonts w:ascii="仿宋" w:hAnsi="仿宋" w:eastAsia="仿宋" w:cs="楷体_GB2312"/>
          <w:sz w:val="24"/>
        </w:rPr>
      </w:pPr>
    </w:p>
    <w:p>
      <w:pPr>
        <w:jc w:val="left"/>
        <w:rPr>
          <w:rFonts w:ascii="仿宋" w:hAnsi="仿宋" w:eastAsia="仿宋" w:cs="楷体_GB2312"/>
          <w:sz w:val="24"/>
        </w:rPr>
      </w:pPr>
      <w:r>
        <w:rPr>
          <w:rFonts w:hint="eastAsia" w:ascii="仿宋" w:hAnsi="仿宋" w:eastAsia="仿宋" w:cs="楷体_GB2312"/>
          <w:sz w:val="24"/>
        </w:rPr>
        <w:t>裁判员：</w:t>
      </w:r>
      <w:r>
        <w:rPr>
          <w:rFonts w:hint="eastAsia" w:ascii="仿宋" w:hAnsi="仿宋" w:eastAsia="仿宋" w:cs="楷体_GB2312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楷体_GB2312"/>
          <w:sz w:val="24"/>
        </w:rPr>
        <w:t xml:space="preserve">            记分员：</w:t>
      </w:r>
      <w:r>
        <w:rPr>
          <w:rFonts w:hint="eastAsia" w:ascii="仿宋" w:hAnsi="仿宋" w:eastAsia="仿宋" w:cs="楷体_GB2312"/>
          <w:sz w:val="24"/>
          <w:u w:val="single"/>
        </w:rPr>
        <w:t xml:space="preserve">                 </w:t>
      </w:r>
    </w:p>
    <w:p>
      <w:pPr>
        <w:jc w:val="left"/>
        <w:rPr>
          <w:rFonts w:ascii="仿宋" w:hAnsi="仿宋" w:eastAsia="仿宋" w:cs="楷体_GB2312"/>
          <w:sz w:val="24"/>
        </w:rPr>
      </w:pPr>
    </w:p>
    <w:p>
      <w:pPr>
        <w:jc w:val="left"/>
        <w:rPr>
          <w:rFonts w:hint="eastAsia" w:ascii="仿宋" w:hAnsi="仿宋" w:eastAsia="仿宋" w:cs="楷体_GB2312"/>
          <w:sz w:val="24"/>
          <w:u w:val="single"/>
        </w:rPr>
      </w:pPr>
      <w:r>
        <w:rPr>
          <w:rFonts w:hint="eastAsia" w:ascii="仿宋" w:hAnsi="仿宋" w:eastAsia="仿宋" w:cs="楷体_GB2312"/>
          <w:sz w:val="24"/>
        </w:rPr>
        <w:t>裁判长：</w:t>
      </w:r>
      <w:r>
        <w:rPr>
          <w:rFonts w:hint="eastAsia" w:ascii="仿宋" w:hAnsi="仿宋" w:eastAsia="仿宋" w:cs="楷体_GB2312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楷体_GB2312"/>
          <w:sz w:val="24"/>
        </w:rPr>
        <w:t xml:space="preserve">            数据录入：</w:t>
      </w:r>
      <w:r>
        <w:rPr>
          <w:rFonts w:hint="eastAsia" w:ascii="仿宋" w:hAnsi="仿宋" w:eastAsia="仿宋" w:cs="楷体_GB2312"/>
          <w:sz w:val="24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实物编程赛答辩计分表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 w:themeColor="text1"/>
          <w:kern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参赛人/团队：                  组别：</w:t>
      </w:r>
    </w:p>
    <w:tbl>
      <w:tblPr>
        <w:tblStyle w:val="4"/>
        <w:tblW w:w="88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440"/>
        <w:gridCol w:w="1275"/>
        <w:gridCol w:w="3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45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595959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评判项目</w:t>
            </w:r>
          </w:p>
        </w:tc>
        <w:tc>
          <w:tcPr>
            <w:tcW w:w="271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595959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计分表</w:t>
            </w:r>
          </w:p>
        </w:tc>
        <w:tc>
          <w:tcPr>
            <w:tcW w:w="31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000000" w:fill="595959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4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FFFF" w:themeColor="background1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机器人程序展示和设计</w:t>
            </w: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主观打分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基本介绍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机器人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的路线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0-4分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对任务路径规划和程序设计思路表达的逻辑性、完整性、准确性和连贯性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0-6分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ind w:firstLine="800" w:firstLineChars="4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ind w:firstLine="800" w:firstLineChars="4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FFFF" w:themeColor="background1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团队介绍和主题任务</w:t>
            </w: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  <w:lang w:val="en-US" w:eastAsia="zh-CN"/>
              </w:rPr>
              <w:t>机器人</w:t>
            </w: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装饰（10</w:t>
            </w: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  <w:lang w:val="en-US" w:eastAsia="zh-CN"/>
              </w:rPr>
              <w:t>分</w:t>
            </w: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主观打分</w:t>
            </w:r>
          </w:p>
        </w:tc>
        <w:tc>
          <w:tcPr>
            <w:tcW w:w="31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A5A5A5" w:themeFill="background1" w:themeFillShade="A6"/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机器人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装饰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0-4分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机器人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装饰需考虑不影响行动的前提下，生动活泼，符合活动主题</w:t>
            </w:r>
          </w:p>
          <w:p>
            <w:pPr>
              <w:widowControl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团队介绍展示及主题故事描述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0-6分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left"/>
        <w:rPr>
          <w:rFonts w:ascii="仿宋" w:hAnsi="仿宋" w:eastAsia="仿宋" w:cs="楷体_GB2312"/>
          <w:sz w:val="24"/>
        </w:rPr>
      </w:pPr>
    </w:p>
    <w:p>
      <w:pPr>
        <w:jc w:val="left"/>
        <w:rPr>
          <w:rFonts w:ascii="仿宋" w:hAnsi="仿宋" w:eastAsia="仿宋" w:cs="楷体_GB2312"/>
          <w:sz w:val="24"/>
        </w:rPr>
      </w:pPr>
      <w:r>
        <w:rPr>
          <w:rFonts w:hint="eastAsia" w:ascii="仿宋" w:hAnsi="仿宋" w:eastAsia="仿宋" w:cs="楷体_GB2312"/>
          <w:sz w:val="24"/>
        </w:rPr>
        <w:t>裁判员：</w:t>
      </w:r>
      <w:r>
        <w:rPr>
          <w:rFonts w:hint="eastAsia" w:ascii="仿宋" w:hAnsi="仿宋" w:eastAsia="仿宋" w:cs="楷体_GB2312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楷体_GB2312"/>
          <w:sz w:val="24"/>
        </w:rPr>
        <w:t xml:space="preserve">            记分员：</w:t>
      </w:r>
      <w:r>
        <w:rPr>
          <w:rFonts w:hint="eastAsia" w:ascii="仿宋" w:hAnsi="仿宋" w:eastAsia="仿宋" w:cs="楷体_GB2312"/>
          <w:sz w:val="24"/>
          <w:u w:val="single"/>
        </w:rPr>
        <w:t xml:space="preserve">                 </w:t>
      </w:r>
    </w:p>
    <w:p>
      <w:pPr>
        <w:jc w:val="left"/>
        <w:rPr>
          <w:rFonts w:ascii="仿宋" w:hAnsi="仿宋" w:eastAsia="仿宋" w:cs="楷体_GB2312"/>
          <w:sz w:val="24"/>
        </w:rPr>
      </w:pPr>
    </w:p>
    <w:p>
      <w:pPr>
        <w:jc w:val="left"/>
      </w:pPr>
      <w:r>
        <w:rPr>
          <w:rFonts w:hint="eastAsia" w:ascii="仿宋" w:hAnsi="仿宋" w:eastAsia="仿宋" w:cs="楷体_GB2312"/>
          <w:sz w:val="24"/>
        </w:rPr>
        <w:t>裁判长：</w:t>
      </w:r>
      <w:r>
        <w:rPr>
          <w:rFonts w:hint="eastAsia" w:ascii="仿宋" w:hAnsi="仿宋" w:eastAsia="仿宋" w:cs="楷体_GB2312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楷体_GB2312"/>
          <w:sz w:val="24"/>
        </w:rPr>
        <w:t xml:space="preserve">            数据录入：</w:t>
      </w:r>
      <w:r>
        <w:rPr>
          <w:rFonts w:hint="eastAsia" w:ascii="仿宋" w:hAnsi="仿宋" w:eastAsia="仿宋" w:cs="楷体_GB2312"/>
          <w:sz w:val="24"/>
          <w:u w:val="single"/>
        </w:rPr>
        <w:t xml:space="preserve">                </w:t>
      </w:r>
    </w:p>
    <w:p>
      <w:pPr>
        <w:jc w:val="left"/>
        <w:rPr>
          <w:rFonts w:hint="eastAsia" w:ascii="仿宋" w:hAnsi="仿宋" w:eastAsia="仿宋" w:cs="楷体_GB2312"/>
          <w:sz w:val="24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Arabic">
    <w:altName w:val="Segoe Print"/>
    <w:panose1 w:val="02040503050201020203"/>
    <w:charset w:val="00"/>
    <w:family w:val="roman"/>
    <w:pitch w:val="default"/>
    <w:sig w:usb0="00000000" w:usb1="00000000" w:usb2="00000008" w:usb3="00000000" w:csb0="2000004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043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80857"/>
    <w:multiLevelType w:val="singleLevel"/>
    <w:tmpl w:val="38A808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zMmYyYTJkNWJiMWFiNDllZTgwNDc0NzhlMDIifQ=="/>
  </w:docVars>
  <w:rsids>
    <w:rsidRoot w:val="40CA5998"/>
    <w:rsid w:val="02465EBC"/>
    <w:rsid w:val="133F08A1"/>
    <w:rsid w:val="32F5400F"/>
    <w:rsid w:val="36814413"/>
    <w:rsid w:val="387E2D8D"/>
    <w:rsid w:val="3C8A4E07"/>
    <w:rsid w:val="3F47037C"/>
    <w:rsid w:val="40CA5998"/>
    <w:rsid w:val="44901E7E"/>
    <w:rsid w:val="4734104C"/>
    <w:rsid w:val="56793826"/>
    <w:rsid w:val="59F77230"/>
    <w:rsid w:val="6ABA0D38"/>
    <w:rsid w:val="788314CD"/>
    <w:rsid w:val="78A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dobe Arabic" w:hAnsi="Adobe Arabic" w:eastAsia="宋体" w:cs="Adobe Arabic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3716</Words>
  <Characters>3805</Characters>
  <Lines>0</Lines>
  <Paragraphs>0</Paragraphs>
  <TotalTime>77</TotalTime>
  <ScaleCrop>false</ScaleCrop>
  <LinksUpToDate>false</LinksUpToDate>
  <CharactersWithSpaces>4066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2023-04-11T03:47:00Z</dcterms:created>
  <dc:creator>福建省机器人科教协会</dc:creator>
  <cp:lastModifiedBy>Ouya</cp:lastModifiedBy>
  <dcterms:modified xsi:type="dcterms:W3CDTF">2023-05-06T08:37:22Z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68C061B1556B4E8DBAB2D966C42D245A_13</vt:lpwstr>
  </property>
</Properties>
</file>